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4C" w:rsidRPr="0054614C" w:rsidRDefault="0054614C" w:rsidP="005461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14C">
        <w:rPr>
          <w:rFonts w:ascii="Times New Roman" w:eastAsia="Calibri" w:hAnsi="Times New Roman" w:cs="Times New Roman"/>
          <w:b/>
          <w:sz w:val="24"/>
          <w:szCs w:val="24"/>
        </w:rPr>
        <w:t>RAP</w:t>
      </w:r>
      <w:r w:rsidR="00A3288F" w:rsidRPr="00A3288F">
        <w:rPr>
          <w:rFonts w:ascii="Times New Roman" w:eastAsia="Calibri" w:hAnsi="Times New Roman" w:cs="Times New Roman"/>
          <w:b/>
          <w:sz w:val="24"/>
          <w:szCs w:val="24"/>
        </w:rPr>
        <w:t xml:space="preserve"> 2.2 </w:t>
      </w:r>
    </w:p>
    <w:p w:rsidR="00A3288F" w:rsidRDefault="00A3288F" w:rsidP="005461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88F">
        <w:rPr>
          <w:rFonts w:ascii="Times New Roman" w:eastAsia="Calibri" w:hAnsi="Times New Roman" w:cs="Times New Roman"/>
          <w:b/>
          <w:sz w:val="24"/>
          <w:szCs w:val="24"/>
        </w:rPr>
        <w:t>Decisions of the Superior Court That May Be Appealed</w:t>
      </w:r>
    </w:p>
    <w:p w:rsidR="0054614C" w:rsidRPr="00A3288F" w:rsidRDefault="0054614C" w:rsidP="0054614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14C" w:rsidRPr="0054614C" w:rsidRDefault="00A3288F" w:rsidP="0054614C">
      <w:pPr>
        <w:rPr>
          <w:rFonts w:ascii="Times New Roman" w:eastAsia="Calibri" w:hAnsi="Times New Roman" w:cs="Times New Roman"/>
          <w:sz w:val="24"/>
          <w:szCs w:val="24"/>
        </w:rPr>
      </w:pPr>
      <w:r w:rsidRPr="00A3288F">
        <w:rPr>
          <w:rFonts w:ascii="Times New Roman" w:eastAsia="Calibri" w:hAnsi="Times New Roman" w:cs="Times New Roman"/>
          <w:b/>
          <w:sz w:val="24"/>
          <w:szCs w:val="24"/>
        </w:rPr>
        <w:t>(a)</w:t>
      </w:r>
      <w:proofErr w:type="gramStart"/>
      <w:r w:rsidR="0054614C">
        <w:rPr>
          <w:rFonts w:ascii="Times New Roman" w:eastAsia="Calibri" w:hAnsi="Times New Roman" w:cs="Times New Roman"/>
          <w:b/>
          <w:sz w:val="24"/>
          <w:szCs w:val="24"/>
        </w:rPr>
        <w:t>-(</w:t>
      </w:r>
      <w:proofErr w:type="gramEnd"/>
      <w:r w:rsidR="0054614C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54614C">
        <w:rPr>
          <w:rFonts w:ascii="Times New Roman" w:eastAsia="Calibri" w:hAnsi="Times New Roman" w:cs="Times New Roman"/>
          <w:sz w:val="24"/>
          <w:szCs w:val="24"/>
        </w:rPr>
        <w:t xml:space="preserve"> [Unchanged.]</w:t>
      </w:r>
    </w:p>
    <w:p w:rsidR="00A3288F" w:rsidRPr="00A3288F" w:rsidRDefault="00A3288F" w:rsidP="00FD574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3288F">
        <w:rPr>
          <w:rFonts w:ascii="Times New Roman" w:eastAsia="Calibri" w:hAnsi="Times New Roman" w:cs="Times New Roman"/>
          <w:sz w:val="24"/>
          <w:szCs w:val="24"/>
          <w:u w:val="single"/>
        </w:rPr>
        <w:t>COMMENT</w:t>
      </w:r>
    </w:p>
    <w:p w:rsidR="00294E33" w:rsidRDefault="00A3288F" w:rsidP="00A3288F">
      <w:r w:rsidRPr="00A328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[1] A summary judgment order disposing of all claims constitutes a final judgment, thereby starting the 30-day appeal deadline even if an award of fees and costs is deferred until after the deadline.  </w:t>
      </w:r>
      <w:r w:rsidRPr="00A3288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Denney v. City of Richland</w:t>
      </w:r>
      <w:r w:rsidRPr="00A3288F">
        <w:rPr>
          <w:rFonts w:ascii="Times New Roman" w:eastAsia="Calibri" w:hAnsi="Times New Roman" w:cs="Times New Roman"/>
          <w:sz w:val="24"/>
          <w:szCs w:val="24"/>
          <w:u w:val="single"/>
        </w:rPr>
        <w:t>, 195 Wn.2d 649, 659, 462 P.3d 842 (2020).</w:t>
      </w:r>
    </w:p>
    <w:sectPr w:rsidR="0029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8F"/>
    <w:rsid w:val="00294E33"/>
    <w:rsid w:val="0054614C"/>
    <w:rsid w:val="00A3288F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581A-39E4-4A7E-B35E-EDF5959D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2022-01-13T23:43:00Z</dcterms:created>
  <dcterms:modified xsi:type="dcterms:W3CDTF">2022-01-13T23:48:00Z</dcterms:modified>
</cp:coreProperties>
</file>